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EF86B" w14:textId="77777777" w:rsidR="00B24038" w:rsidRPr="00B24038" w:rsidRDefault="00B24038" w:rsidP="001C6281">
      <w:pPr>
        <w:rPr>
          <w:b/>
          <w:i/>
          <w:sz w:val="24"/>
        </w:rPr>
      </w:pPr>
      <w:r w:rsidRPr="00B24038">
        <w:rPr>
          <w:b/>
          <w:i/>
          <w:sz w:val="24"/>
        </w:rPr>
        <w:t xml:space="preserve">Achtung: </w:t>
      </w:r>
      <w:r>
        <w:rPr>
          <w:b/>
          <w:i/>
          <w:sz w:val="24"/>
        </w:rPr>
        <w:t xml:space="preserve">Die technische Spezifikation der </w:t>
      </w:r>
      <w:r w:rsidR="0076071C">
        <w:rPr>
          <w:b/>
          <w:i/>
          <w:sz w:val="24"/>
        </w:rPr>
        <w:t xml:space="preserve">Hubtore SPACELITE </w:t>
      </w:r>
      <w:r w:rsidR="001D28D0">
        <w:rPr>
          <w:b/>
          <w:i/>
          <w:sz w:val="24"/>
        </w:rPr>
        <w:t>HT</w:t>
      </w:r>
      <w:r w:rsidRPr="00B24038">
        <w:rPr>
          <w:b/>
          <w:i/>
          <w:sz w:val="24"/>
        </w:rPr>
        <w:t xml:space="preserve">150 </w:t>
      </w:r>
      <w:r>
        <w:rPr>
          <w:b/>
          <w:i/>
          <w:sz w:val="24"/>
        </w:rPr>
        <w:t xml:space="preserve">hängt von vielen verschiedenen Einflussfaktoren ab. </w:t>
      </w:r>
      <w:r w:rsidRPr="00B24038">
        <w:rPr>
          <w:b/>
          <w:i/>
          <w:sz w:val="24"/>
        </w:rPr>
        <w:t xml:space="preserve">Vor Ausschreibung empfehlen wir eine technische Abklärung mit unserem Fachberater, um die jeweils günstigste Produktoption zu ermitteln </w:t>
      </w:r>
    </w:p>
    <w:p w14:paraId="72ACFA68" w14:textId="77777777" w:rsidR="00B24038" w:rsidRDefault="00B24038" w:rsidP="001C6281">
      <w:pPr>
        <w:rPr>
          <w:b/>
          <w:sz w:val="24"/>
        </w:rPr>
      </w:pPr>
    </w:p>
    <w:p w14:paraId="710F6A4E" w14:textId="77777777" w:rsidR="00DD00BE" w:rsidRPr="006C50B5" w:rsidRDefault="00DD00BE" w:rsidP="001C6281">
      <w:pPr>
        <w:rPr>
          <w:b/>
          <w:sz w:val="24"/>
        </w:rPr>
      </w:pPr>
      <w:r w:rsidRPr="006C50B5">
        <w:rPr>
          <w:b/>
          <w:sz w:val="24"/>
        </w:rPr>
        <w:t>Ausschreibungstext</w:t>
      </w:r>
      <w:r w:rsidR="00426245" w:rsidRPr="006C50B5">
        <w:rPr>
          <w:b/>
          <w:sz w:val="24"/>
        </w:rPr>
        <w:t xml:space="preserve"> </w:t>
      </w:r>
      <w:r w:rsidR="00E445F1">
        <w:rPr>
          <w:b/>
          <w:sz w:val="24"/>
        </w:rPr>
        <w:t>Fiberglas</w:t>
      </w:r>
      <w:r w:rsidR="00863742" w:rsidRPr="006C50B5">
        <w:rPr>
          <w:b/>
          <w:sz w:val="24"/>
        </w:rPr>
        <w:t>-</w:t>
      </w:r>
      <w:proofErr w:type="spellStart"/>
      <w:r w:rsidR="00863742" w:rsidRPr="006C50B5">
        <w:rPr>
          <w:b/>
          <w:sz w:val="24"/>
        </w:rPr>
        <w:t>Hubtor</w:t>
      </w:r>
      <w:proofErr w:type="spellEnd"/>
      <w:r w:rsidR="00863742" w:rsidRPr="006C50B5">
        <w:rPr>
          <w:b/>
          <w:sz w:val="24"/>
        </w:rPr>
        <w:t xml:space="preserve"> SPACELITE</w:t>
      </w:r>
      <w:r w:rsidR="00A668AE" w:rsidRPr="006C50B5">
        <w:rPr>
          <w:b/>
          <w:sz w:val="24"/>
        </w:rPr>
        <w:t>®</w:t>
      </w:r>
      <w:r w:rsidR="0076071C">
        <w:rPr>
          <w:b/>
          <w:sz w:val="24"/>
        </w:rPr>
        <w:t xml:space="preserve"> </w:t>
      </w:r>
      <w:r w:rsidR="001D28D0">
        <w:rPr>
          <w:b/>
          <w:sz w:val="24"/>
        </w:rPr>
        <w:t>HT</w:t>
      </w:r>
      <w:r w:rsidR="00B24038">
        <w:rPr>
          <w:b/>
          <w:sz w:val="24"/>
        </w:rPr>
        <w:t>150</w:t>
      </w:r>
    </w:p>
    <w:p w14:paraId="776E1C5B" w14:textId="6CED1D39" w:rsidR="0076071C" w:rsidRPr="002D5571" w:rsidRDefault="0076071C" w:rsidP="0076071C">
      <w:pPr>
        <w:spacing w:after="0"/>
      </w:pPr>
      <w:r w:rsidRPr="002D5571">
        <w:t xml:space="preserve">Herstellung, Lieferung und Montage eines Hubtors wie nachfolgend technisch spezifiziert, mit elektromechanischem Antrieb ohne Federunterstützung, sowie wärmegedämmter, lichtdurchlässiger </w:t>
      </w:r>
      <w:proofErr w:type="spellStart"/>
      <w:r w:rsidRPr="002D5571">
        <w:t>Fiberglasfüllung</w:t>
      </w:r>
      <w:proofErr w:type="spellEnd"/>
      <w:r w:rsidRPr="002D5571">
        <w:t xml:space="preserve"> und senkrechter Staffelung </w:t>
      </w:r>
      <w:r w:rsidR="00143DCC" w:rsidRPr="002D5571">
        <w:t>der geöffneten</w:t>
      </w:r>
      <w:r w:rsidRPr="002D5571">
        <w:t xml:space="preserve"> Torelemente innen hinter dem Sturz. Tore mit lichtundurchlässigen Torblattfüllungen, mit Torsions- oder Zugfedern</w:t>
      </w:r>
      <w:r w:rsidR="00C76B32">
        <w:t xml:space="preserve"> zum Gewichtsausgleich</w:t>
      </w:r>
      <w:r w:rsidRPr="002D5571">
        <w:t xml:space="preserve">, freihängenden Spiralkabeln oder gekanteten Scharnieren </w:t>
      </w:r>
      <w:r w:rsidR="00AF7EE2" w:rsidRPr="00AF7EE2">
        <w:t>können nicht als gleichwertig angesehen werden</w:t>
      </w:r>
      <w:r w:rsidRPr="002D5571">
        <w:t xml:space="preserve">. </w:t>
      </w:r>
      <w:r w:rsidR="001D28D0">
        <w:t>Das Tor muss für eine jährliche Leistung von 30.000 Öffnungszyklen ausgelegt sein.</w:t>
      </w:r>
    </w:p>
    <w:p w14:paraId="5642D029" w14:textId="77777777" w:rsidR="00426245" w:rsidRPr="006C50B5" w:rsidRDefault="00426245" w:rsidP="001C6281">
      <w:pPr>
        <w:spacing w:after="0"/>
      </w:pPr>
    </w:p>
    <w:p w14:paraId="5C388D89" w14:textId="77777777" w:rsidR="0076071C" w:rsidRPr="00E96ECD" w:rsidRDefault="0076071C" w:rsidP="0076071C">
      <w:pPr>
        <w:spacing w:after="0"/>
      </w:pPr>
      <w:r w:rsidRPr="002D5571">
        <w:rPr>
          <w:b/>
        </w:rPr>
        <w:t>Produktqualität</w:t>
      </w:r>
      <w:r w:rsidRPr="002D5571">
        <w:t xml:space="preserve"> und Leistungseigenschaften der Tore sind geprüft und zertifiziert nach DIN EN </w:t>
      </w:r>
      <w:r w:rsidRPr="00E96ECD">
        <w:t>13241-1. Das Tor erfüllt folgende Mindestanforderungen:</w:t>
      </w:r>
    </w:p>
    <w:p w14:paraId="009A960B" w14:textId="77777777" w:rsidR="0076071C" w:rsidRPr="00E96ECD" w:rsidRDefault="0076071C" w:rsidP="0076071C">
      <w:pPr>
        <w:spacing w:after="0"/>
      </w:pPr>
      <w:r w:rsidRPr="00E96ECD">
        <w:t>Luftdurc</w:t>
      </w:r>
      <w:r w:rsidR="00721A3F" w:rsidRPr="00E96ECD">
        <w:t>hlässigkeit (EN 12426): Klasse 2</w:t>
      </w:r>
      <w:r w:rsidRPr="00E96ECD">
        <w:t xml:space="preserve">. </w:t>
      </w:r>
    </w:p>
    <w:p w14:paraId="457ACC3C" w14:textId="63C49274" w:rsidR="0076071C" w:rsidRPr="00E96ECD" w:rsidRDefault="0076071C" w:rsidP="0076071C">
      <w:pPr>
        <w:spacing w:after="0"/>
      </w:pPr>
      <w:r w:rsidRPr="00E96ECD">
        <w:t xml:space="preserve">Widerstand gegen Windlast (EN12424): Klasse2 bis Klasse </w:t>
      </w:r>
      <w:r w:rsidR="0008533C" w:rsidRPr="00E96ECD">
        <w:t>5</w:t>
      </w:r>
      <w:r w:rsidRPr="00E96ECD">
        <w:t xml:space="preserve"> (breitenabhängig)   </w:t>
      </w:r>
    </w:p>
    <w:p w14:paraId="12F9E208" w14:textId="77777777" w:rsidR="0076071C" w:rsidRPr="00E96ECD" w:rsidRDefault="0076071C" w:rsidP="0076071C">
      <w:pPr>
        <w:spacing w:after="0"/>
      </w:pPr>
      <w:r w:rsidRPr="00E96ECD">
        <w:t>Widerstand gegen eindringendes Wasser (EN 12425): Klasse 2</w:t>
      </w:r>
    </w:p>
    <w:p w14:paraId="17610FBF" w14:textId="77777777" w:rsidR="005027C0" w:rsidRPr="00E96ECD" w:rsidRDefault="005027C0" w:rsidP="001C6281">
      <w:pPr>
        <w:spacing w:after="0"/>
      </w:pPr>
    </w:p>
    <w:p w14:paraId="01A5C6C4" w14:textId="77777777" w:rsidR="00095782" w:rsidRPr="00E96ECD" w:rsidRDefault="00446DCE" w:rsidP="001C6281">
      <w:pPr>
        <w:spacing w:after="0"/>
      </w:pPr>
      <w:r w:rsidRPr="00E96ECD">
        <w:rPr>
          <w:b/>
        </w:rPr>
        <w:t>Führungsmechanik</w:t>
      </w:r>
      <w:r w:rsidRPr="00E96ECD">
        <w:t xml:space="preserve">: Führungsschienen aus Aluminium pressblank (Option: RAL farbbeschichtet oder eloxiert nach DIN 17611). Aus Sicherheitsgründen dreiseitig geschlossen, mit einfach abnehmbaren Deckleisten. Kabelverlegung geschützt in einem Kabelkanal. </w:t>
      </w:r>
      <w:commentRangeStart w:id="0"/>
      <w:r w:rsidR="00B24038" w:rsidRPr="00E96ECD">
        <w:rPr>
          <w:strike/>
        </w:rPr>
        <w:t>Integrie</w:t>
      </w:r>
      <w:r w:rsidRPr="00E96ECD">
        <w:rPr>
          <w:strike/>
        </w:rPr>
        <w:t>rte Stromschleifleitung oder</w:t>
      </w:r>
      <w:r w:rsidRPr="00E96ECD">
        <w:t xml:space="preserve"> </w:t>
      </w:r>
      <w:commentRangeEnd w:id="0"/>
      <w:r w:rsidR="003D08FE" w:rsidRPr="00E96ECD">
        <w:rPr>
          <w:rStyle w:val="Kommentarzeichen"/>
        </w:rPr>
        <w:commentReference w:id="0"/>
      </w:r>
      <w:r w:rsidRPr="00E96ECD">
        <w:t>Energiekette.</w:t>
      </w:r>
    </w:p>
    <w:p w14:paraId="4FC6FF68" w14:textId="77777777" w:rsidR="00095782" w:rsidRPr="00E96ECD" w:rsidRDefault="00095782" w:rsidP="001C6281">
      <w:pPr>
        <w:spacing w:after="0"/>
      </w:pPr>
    </w:p>
    <w:p w14:paraId="20410716" w14:textId="77777777" w:rsidR="00095782" w:rsidRPr="00E96ECD" w:rsidRDefault="00095782" w:rsidP="001C6281">
      <w:pPr>
        <w:spacing w:after="0"/>
      </w:pPr>
      <w:r w:rsidRPr="00E96ECD">
        <w:rPr>
          <w:b/>
        </w:rPr>
        <w:t>Stahlkonsolen</w:t>
      </w:r>
      <w:r w:rsidR="00863742" w:rsidRPr="00E96ECD">
        <w:rPr>
          <w:b/>
        </w:rPr>
        <w:t>:</w:t>
      </w:r>
      <w:r w:rsidR="00B24038" w:rsidRPr="00E96ECD">
        <w:t xml:space="preserve"> galvanisch verzinkt, </w:t>
      </w:r>
      <w:r w:rsidRPr="00E96ECD">
        <w:t>Antriebseinheit rechts (Option: links), Absturzbügel.</w:t>
      </w:r>
      <w:r w:rsidR="00A668AE" w:rsidRPr="00E96ECD">
        <w:t xml:space="preserve"> Befestigung am </w:t>
      </w:r>
      <w:r w:rsidR="006A399C" w:rsidRPr="00E96ECD">
        <w:t>Sturz</w:t>
      </w:r>
      <w:r w:rsidR="00A668AE" w:rsidRPr="00E96ECD">
        <w:t>, ohne Abhängung von der Decke.</w:t>
      </w:r>
    </w:p>
    <w:p w14:paraId="79B98ED0" w14:textId="77777777" w:rsidR="005027C0" w:rsidRPr="00E96ECD" w:rsidRDefault="005027C0" w:rsidP="001C6281">
      <w:pPr>
        <w:spacing w:after="0"/>
      </w:pPr>
      <w:r w:rsidRPr="00E96ECD">
        <w:t xml:space="preserve"> </w:t>
      </w:r>
    </w:p>
    <w:p w14:paraId="16B4D031" w14:textId="32274C8B" w:rsidR="00EC4E28" w:rsidRPr="00E96ECD" w:rsidRDefault="00095782" w:rsidP="008009A5">
      <w:pPr>
        <w:spacing w:after="0"/>
      </w:pPr>
      <w:r w:rsidRPr="00E96ECD">
        <w:rPr>
          <w:b/>
        </w:rPr>
        <w:t>Torblätter</w:t>
      </w:r>
      <w:r w:rsidR="00E445F1" w:rsidRPr="00E96ECD">
        <w:rPr>
          <w:b/>
        </w:rPr>
        <w:t xml:space="preserve">: </w:t>
      </w:r>
      <w:r w:rsidR="00E67580" w:rsidRPr="00E96ECD">
        <w:t>lichtdurchlässige</w:t>
      </w:r>
      <w:r w:rsidR="00E67580" w:rsidRPr="00E96ECD">
        <w:rPr>
          <w:b/>
        </w:rPr>
        <w:t xml:space="preserve"> </w:t>
      </w:r>
      <w:r w:rsidR="00E67580" w:rsidRPr="00E96ECD">
        <w:t>Fiberglas Steg-Doppelplatten, Farbton: Brillant, Option: Smaragd-Grün oder Saphir-Blau.</w:t>
      </w:r>
      <w:r w:rsidR="00171556" w:rsidRPr="00E96ECD">
        <w:t xml:space="preserve"> </w:t>
      </w:r>
      <w:r w:rsidR="00E67580" w:rsidRPr="00E96ECD">
        <w:t>Lichttransmission</w:t>
      </w:r>
      <w:r w:rsidR="008009A5" w:rsidRPr="00E96ECD">
        <w:t xml:space="preserve"> bis zu 55</w:t>
      </w:r>
      <w:r w:rsidR="00E67580" w:rsidRPr="00E96ECD">
        <w:t xml:space="preserve">% (in Abhängigkeit von </w:t>
      </w:r>
      <w:r w:rsidR="00171556" w:rsidRPr="00E96ECD">
        <w:t>Tortyp, Farbton</w:t>
      </w:r>
      <w:r w:rsidR="00E67580" w:rsidRPr="00E96ECD">
        <w:t xml:space="preserve"> und Wärmedämmeigen</w:t>
      </w:r>
      <w:r w:rsidR="008009A5" w:rsidRPr="00E96ECD">
        <w:t>schaften).</w:t>
      </w:r>
      <w:r w:rsidR="00F82952" w:rsidRPr="00E96ECD">
        <w:t xml:space="preserve"> </w:t>
      </w:r>
      <w:r w:rsidR="00EC4E28" w:rsidRPr="00E96ECD">
        <w:t>Verbindungsprofile und unteres Halteprofil Aluminium pressblank, Eingreifschutzprofile Aluminium eloxiert E6C0, Option: (Eingreifschutz) farbbeschichtet nach RAL</w:t>
      </w:r>
    </w:p>
    <w:p w14:paraId="5EA8A7C3" w14:textId="72ED5A79" w:rsidR="008009A5" w:rsidRDefault="008009A5" w:rsidP="008009A5">
      <w:pPr>
        <w:spacing w:after="0"/>
      </w:pPr>
      <w:r w:rsidRPr="00E96ECD">
        <w:t>U</w:t>
      </w:r>
      <w:r w:rsidRPr="00E96ECD">
        <w:rPr>
          <w:vertAlign w:val="subscript"/>
        </w:rPr>
        <w:t>p</w:t>
      </w:r>
      <w:r w:rsidRPr="00E96ECD">
        <w:t xml:space="preserve"> -Wert Steg-Doppelplatten (Standardausführung): 1,3 W/m</w:t>
      </w:r>
      <w:r w:rsidRPr="00E96ECD">
        <w:rPr>
          <w:vertAlign w:val="superscript"/>
        </w:rPr>
        <w:t>2</w:t>
      </w:r>
      <w:r w:rsidRPr="00E96ECD">
        <w:t>K.</w:t>
      </w:r>
    </w:p>
    <w:p w14:paraId="0738DAC1" w14:textId="77777777" w:rsidR="008009A5" w:rsidRDefault="008009A5" w:rsidP="008009A5">
      <w:pPr>
        <w:spacing w:after="0"/>
      </w:pPr>
      <w:r>
        <w:t>Option: Verbesserung des U</w:t>
      </w:r>
      <w:r w:rsidRPr="00171556">
        <w:rPr>
          <w:vertAlign w:val="subscript"/>
        </w:rPr>
        <w:t>p</w:t>
      </w:r>
      <w:r>
        <w:t xml:space="preserve"> –Wertes bis ca. 0,83 W/m</w:t>
      </w:r>
      <w:r w:rsidRPr="00B24038">
        <w:rPr>
          <w:vertAlign w:val="superscript"/>
        </w:rPr>
        <w:t>2</w:t>
      </w:r>
      <w:r>
        <w:t>K.</w:t>
      </w:r>
    </w:p>
    <w:p w14:paraId="2B2CDBB5" w14:textId="58E65D7B" w:rsidR="008009A5" w:rsidRPr="008009A5" w:rsidRDefault="008009A5" w:rsidP="008009A5">
      <w:pPr>
        <w:spacing w:after="0"/>
      </w:pPr>
      <w:r>
        <w:t xml:space="preserve">Torblatt Stärke 150 mm, Höhe </w:t>
      </w:r>
      <w:r w:rsidRPr="008009A5">
        <w:t>ca. 1000 mm</w:t>
      </w:r>
      <w:r>
        <w:t xml:space="preserve">. </w:t>
      </w:r>
    </w:p>
    <w:p w14:paraId="72F56E11" w14:textId="77777777" w:rsidR="00E445F1" w:rsidRDefault="00E445F1" w:rsidP="00B24038">
      <w:pPr>
        <w:spacing w:after="0"/>
      </w:pPr>
      <w:r w:rsidRPr="00835017">
        <w:t>Option: E</w:t>
      </w:r>
      <w:r w:rsidR="00B24038" w:rsidRPr="00835017">
        <w:t>inbau von ovalen Sichtfenstern.</w:t>
      </w:r>
    </w:p>
    <w:p w14:paraId="4C8C6EAC" w14:textId="77777777" w:rsidR="00863742" w:rsidRDefault="00863742" w:rsidP="001C6281">
      <w:pPr>
        <w:spacing w:after="0"/>
      </w:pPr>
    </w:p>
    <w:p w14:paraId="427E96EC" w14:textId="77777777" w:rsidR="00B24038" w:rsidRPr="008009A5" w:rsidRDefault="00835017" w:rsidP="00FE6871">
      <w:pPr>
        <w:spacing w:after="0"/>
      </w:pPr>
      <w:r>
        <w:rPr>
          <w:b/>
        </w:rPr>
        <w:t>A</w:t>
      </w:r>
      <w:r w:rsidRPr="00863742">
        <w:rPr>
          <w:b/>
        </w:rPr>
        <w:t>ntrieb</w:t>
      </w:r>
      <w:r>
        <w:t xml:space="preserve">: elektrisch über Getriebemotor </w:t>
      </w:r>
      <w:r w:rsidR="00B24038">
        <w:t>mit</w:t>
      </w:r>
      <w:r w:rsidR="00863742">
        <w:t xml:space="preserve"> </w:t>
      </w:r>
      <w:r w:rsidR="00863742" w:rsidRPr="006C50B5">
        <w:t>thermischem Ü</w:t>
      </w:r>
      <w:r>
        <w:t>berhitzungs</w:t>
      </w:r>
      <w:r w:rsidR="00863742" w:rsidRPr="006C50B5">
        <w:t>schutz</w:t>
      </w:r>
      <w:r w:rsidR="00B24038">
        <w:t xml:space="preserve"> und Bremse</w:t>
      </w:r>
      <w:r w:rsidR="00126EB6">
        <w:t xml:space="preserve">, Schutzart IP54, </w:t>
      </w:r>
      <w:r w:rsidR="00126EB6" w:rsidRPr="006C50B5">
        <w:t xml:space="preserve">(Option: IP 65). </w:t>
      </w:r>
      <w:r w:rsidR="00863742" w:rsidRPr="006C50B5">
        <w:t xml:space="preserve"> </w:t>
      </w:r>
      <w:r w:rsidR="0072246D">
        <w:t>Mechanischer Überlastschutz zur Vermeidung von Schäden durch blockierte Torblätter.</w:t>
      </w:r>
      <w:r w:rsidR="008009A5">
        <w:t xml:space="preserve"> </w:t>
      </w:r>
      <w:r w:rsidR="00FE6871">
        <w:t>Öffnung</w:t>
      </w:r>
      <w:r>
        <w:t>s- und</w:t>
      </w:r>
      <w:r w:rsidR="00B24038">
        <w:t xml:space="preserve"> Schließgeschwindigkeit:</w:t>
      </w:r>
      <w:r w:rsidR="008009A5">
        <w:t xml:space="preserve"> </w:t>
      </w:r>
      <w:r w:rsidR="00B24038" w:rsidRPr="008009A5">
        <w:t>bis</w:t>
      </w:r>
      <w:r w:rsidR="00341E8C" w:rsidRPr="008009A5">
        <w:t xml:space="preserve"> ca.10</w:t>
      </w:r>
      <w:r w:rsidR="00B24038" w:rsidRPr="008009A5">
        <w:t xml:space="preserve"> cm/s</w:t>
      </w:r>
    </w:p>
    <w:p w14:paraId="0D70BECB" w14:textId="77777777" w:rsidR="00863742" w:rsidRPr="008009A5" w:rsidRDefault="00863742" w:rsidP="001C6281">
      <w:pPr>
        <w:spacing w:after="0"/>
      </w:pPr>
    </w:p>
    <w:p w14:paraId="39542A2B" w14:textId="77777777" w:rsidR="00863742" w:rsidRDefault="00863742" w:rsidP="001C6281">
      <w:pPr>
        <w:spacing w:after="0"/>
      </w:pPr>
      <w:r w:rsidRPr="00863742">
        <w:rPr>
          <w:b/>
        </w:rPr>
        <w:t>Notbetätigung</w:t>
      </w:r>
      <w:r>
        <w:t>: mechanisch über Haspelkette.</w:t>
      </w:r>
    </w:p>
    <w:p w14:paraId="6CE284D7" w14:textId="77777777" w:rsidR="00863742" w:rsidRDefault="00863742" w:rsidP="001C6281">
      <w:pPr>
        <w:spacing w:after="0"/>
      </w:pPr>
    </w:p>
    <w:p w14:paraId="490F2869" w14:textId="50ACFCA1" w:rsidR="00126EB6" w:rsidRDefault="00126EB6" w:rsidP="00126EB6">
      <w:pPr>
        <w:spacing w:after="0"/>
      </w:pPr>
      <w:r w:rsidRPr="0097358D">
        <w:rPr>
          <w:b/>
        </w:rPr>
        <w:t>Versorgungsspannung</w:t>
      </w:r>
      <w:r w:rsidRPr="0097358D">
        <w:t xml:space="preserve">: 3/N/PE 400V 50 Hz, Absicherung mit Leitungsschutzschalter </w:t>
      </w:r>
      <w:bookmarkStart w:id="1" w:name="_Hlk67928181"/>
      <w:commentRangeStart w:id="2"/>
      <w:r w:rsidRPr="00E96ECD">
        <w:t>C1</w:t>
      </w:r>
      <w:r w:rsidR="00143DCC" w:rsidRPr="00E96ECD">
        <w:t>6</w:t>
      </w:r>
      <w:r w:rsidRPr="00E96ECD">
        <w:t>A</w:t>
      </w:r>
      <w:commentRangeEnd w:id="2"/>
      <w:r w:rsidR="00143DCC" w:rsidRPr="00E96ECD">
        <w:rPr>
          <w:rStyle w:val="Kommentarzeichen"/>
        </w:rPr>
        <w:commentReference w:id="2"/>
      </w:r>
      <w:r w:rsidRPr="00E96ECD">
        <w:t>.</w:t>
      </w:r>
      <w:bookmarkEnd w:id="1"/>
    </w:p>
    <w:p w14:paraId="658E2B2B" w14:textId="77777777" w:rsidR="00126EB6" w:rsidRDefault="00126EB6" w:rsidP="001C6281">
      <w:pPr>
        <w:spacing w:after="0"/>
      </w:pPr>
    </w:p>
    <w:p w14:paraId="0DD82259" w14:textId="77777777" w:rsidR="00143DCC" w:rsidRPr="00E96ECD" w:rsidRDefault="00126EB6" w:rsidP="00143DCC">
      <w:pPr>
        <w:spacing w:after="0"/>
      </w:pPr>
      <w:r w:rsidRPr="00E96ECD">
        <w:rPr>
          <w:b/>
        </w:rPr>
        <w:lastRenderedPageBreak/>
        <w:t>Torsteuerung</w:t>
      </w:r>
      <w:r w:rsidRPr="00E96ECD">
        <w:t xml:space="preserve">: </w:t>
      </w:r>
      <w:r w:rsidR="00143DCC" w:rsidRPr="00E96ECD">
        <w:t>Microprozessorsteuerung in Kunststoff Gehäuse der Schutzart IP 65. Gehäusefront mit AUF- STOPP-AB-Taster und Hauptschalter. Tor öffnet und schließt in Selbsthaltung. Netzanschluss bauseits mit Direkteinspeisung. Vorbereitet zum Anschluss von optionalem Zubehör. Die Funktion von Ausgangsrelais ist einstellbar, z. B. für potenzialfreie Meldung Tor offen/ Tor geschlossen, zur Ansteuerung von Ampel- und Signalleuchten oder Hoflichtfunktion. Anzeige von Betriebszuständen und Störmeldungen</w:t>
      </w:r>
      <w:r w:rsidR="00143DCC" w:rsidRPr="00E96ECD">
        <w:rPr>
          <w:color w:val="00B0F0"/>
        </w:rPr>
        <w:t xml:space="preserve"> </w:t>
      </w:r>
      <w:r w:rsidR="00143DCC" w:rsidRPr="00E96ECD">
        <w:t>über numerischen Code. Option:  Variable Öffnungshöhe (</w:t>
      </w:r>
      <w:proofErr w:type="spellStart"/>
      <w:r w:rsidR="00143DCC" w:rsidRPr="00E96ECD">
        <w:t>Stop</w:t>
      </w:r>
      <w:proofErr w:type="spellEnd"/>
      <w:r w:rsidR="00143DCC" w:rsidRPr="00E96ECD">
        <w:t>-X) über Wahlschalter aktivierbar.</w:t>
      </w:r>
    </w:p>
    <w:p w14:paraId="1A1B0776" w14:textId="37AA6EAC" w:rsidR="00126EB6" w:rsidRDefault="00126EB6" w:rsidP="00126EB6">
      <w:pPr>
        <w:spacing w:after="0"/>
      </w:pPr>
    </w:p>
    <w:p w14:paraId="19F9F07E" w14:textId="77777777" w:rsidR="00126EB6" w:rsidRDefault="00126EB6" w:rsidP="00126EB6">
      <w:pPr>
        <w:spacing w:after="0"/>
      </w:pPr>
    </w:p>
    <w:p w14:paraId="248BD536" w14:textId="77777777" w:rsidR="00126EB6" w:rsidRPr="00B55B65" w:rsidRDefault="00126EB6" w:rsidP="00126EB6">
      <w:pPr>
        <w:spacing w:after="0"/>
        <w:rPr>
          <w:b/>
        </w:rPr>
      </w:pPr>
      <w:r w:rsidRPr="00B55B65">
        <w:rPr>
          <w:b/>
        </w:rPr>
        <w:t>Zubehör für Steuerung und Sicherheit:</w:t>
      </w:r>
    </w:p>
    <w:p w14:paraId="237F3E61" w14:textId="77777777" w:rsidR="00126EB6" w:rsidRDefault="00126EB6" w:rsidP="00126EB6">
      <w:pPr>
        <w:spacing w:after="0"/>
      </w:pPr>
      <w:r>
        <w:t xml:space="preserve">Optionen: </w:t>
      </w:r>
    </w:p>
    <w:p w14:paraId="6388C6D5" w14:textId="77777777" w:rsidR="00126EB6" w:rsidRDefault="00126EB6" w:rsidP="00126EB6">
      <w:pPr>
        <w:spacing w:after="0"/>
      </w:pPr>
      <w:r>
        <w:t>Schlüsselschalter</w:t>
      </w:r>
    </w:p>
    <w:p w14:paraId="1140D10B" w14:textId="77777777" w:rsidR="00126EB6" w:rsidRDefault="00126EB6" w:rsidP="00126EB6">
      <w:pPr>
        <w:spacing w:after="0"/>
      </w:pPr>
      <w:r>
        <w:t>Grobhandtaster</w:t>
      </w:r>
    </w:p>
    <w:p w14:paraId="7EA0498A" w14:textId="77777777" w:rsidR="00126EB6" w:rsidRDefault="00126EB6" w:rsidP="00126EB6">
      <w:pPr>
        <w:spacing w:after="0"/>
      </w:pPr>
      <w:r>
        <w:t>Zugschalter</w:t>
      </w:r>
    </w:p>
    <w:p w14:paraId="66323C53" w14:textId="77777777" w:rsidR="00126EB6" w:rsidRDefault="00126EB6" w:rsidP="00126EB6">
      <w:pPr>
        <w:spacing w:after="0"/>
      </w:pPr>
      <w:r>
        <w:t>Funksender</w:t>
      </w:r>
    </w:p>
    <w:p w14:paraId="30412C79" w14:textId="77777777" w:rsidR="00126EB6" w:rsidRDefault="00126EB6" w:rsidP="00126EB6">
      <w:pPr>
        <w:spacing w:after="0"/>
      </w:pPr>
      <w:r>
        <w:t>Infrarot-Lichttaster</w:t>
      </w:r>
    </w:p>
    <w:p w14:paraId="4F53DC26" w14:textId="77777777" w:rsidR="00126EB6" w:rsidRDefault="00126EB6" w:rsidP="00126EB6">
      <w:pPr>
        <w:spacing w:after="0"/>
      </w:pPr>
      <w:r>
        <w:t>Radarbewegungsmelder</w:t>
      </w:r>
    </w:p>
    <w:p w14:paraId="5F316E80" w14:textId="77777777" w:rsidR="00126EB6" w:rsidRDefault="00126EB6" w:rsidP="00126EB6">
      <w:pPr>
        <w:spacing w:after="0"/>
      </w:pPr>
      <w:r>
        <w:t>Absicherungssensor Laser</w:t>
      </w:r>
    </w:p>
    <w:p w14:paraId="06691665" w14:textId="77777777" w:rsidR="00126EB6" w:rsidRDefault="00126EB6" w:rsidP="00126EB6">
      <w:pPr>
        <w:spacing w:after="0"/>
      </w:pPr>
      <w:r>
        <w:t>Absicherungssensor Infrarot</w:t>
      </w:r>
    </w:p>
    <w:p w14:paraId="088CD7C4" w14:textId="77777777" w:rsidR="00126EB6" w:rsidRDefault="00126EB6" w:rsidP="00126EB6">
      <w:pPr>
        <w:spacing w:after="0"/>
      </w:pPr>
      <w:r>
        <w:t>Induktionsschleifendetektor</w:t>
      </w:r>
    </w:p>
    <w:p w14:paraId="1E3E4116" w14:textId="77777777" w:rsidR="00126EB6" w:rsidRDefault="00126EB6" w:rsidP="00126EB6">
      <w:pPr>
        <w:spacing w:after="0"/>
      </w:pPr>
      <w:r>
        <w:t>Reflexionslichtschranke</w:t>
      </w:r>
    </w:p>
    <w:p w14:paraId="5553BC63" w14:textId="77777777" w:rsidR="00126EB6" w:rsidRDefault="00126EB6" w:rsidP="00126EB6">
      <w:pPr>
        <w:spacing w:after="0"/>
      </w:pPr>
      <w:r>
        <w:t>Infrarot-Lichtschranke</w:t>
      </w:r>
    </w:p>
    <w:p w14:paraId="086F022D" w14:textId="77777777" w:rsidR="00126EB6" w:rsidRDefault="00126EB6" w:rsidP="00126EB6">
      <w:pPr>
        <w:spacing w:after="0"/>
      </w:pPr>
      <w:r>
        <w:t>Lichtgitter</w:t>
      </w:r>
    </w:p>
    <w:p w14:paraId="25B33484" w14:textId="77777777" w:rsidR="00126EB6" w:rsidRDefault="00126EB6" w:rsidP="00126EB6">
      <w:pPr>
        <w:spacing w:after="0"/>
      </w:pPr>
      <w:r>
        <w:t>Ampel</w:t>
      </w:r>
    </w:p>
    <w:p w14:paraId="66F28052" w14:textId="77777777" w:rsidR="00126EB6" w:rsidRDefault="00126EB6" w:rsidP="00126EB6">
      <w:pPr>
        <w:spacing w:after="0"/>
      </w:pPr>
      <w:r>
        <w:t>Blitzleuchte</w:t>
      </w:r>
    </w:p>
    <w:p w14:paraId="0031B7DD" w14:textId="77777777" w:rsidR="00B24038" w:rsidRDefault="00126EB6" w:rsidP="00126EB6">
      <w:pPr>
        <w:spacing w:after="0"/>
      </w:pPr>
      <w:r>
        <w:t>Sonstige: Spezifikation auf Anfrage</w:t>
      </w:r>
    </w:p>
    <w:p w14:paraId="0E67463F" w14:textId="77777777" w:rsidR="00126EB6" w:rsidRDefault="00126EB6" w:rsidP="00126EB6">
      <w:pPr>
        <w:spacing w:after="0"/>
      </w:pPr>
    </w:p>
    <w:p w14:paraId="2AFE91C4" w14:textId="77777777" w:rsidR="001C6281" w:rsidRDefault="001C6281" w:rsidP="00FE6871">
      <w:pPr>
        <w:spacing w:after="0"/>
      </w:pPr>
      <w:r w:rsidRPr="001C6281">
        <w:rPr>
          <w:b/>
        </w:rPr>
        <w:t>Sicherheit</w:t>
      </w:r>
      <w:r>
        <w:t>: baumustergeprüfte Absturzsicherung, den Richtlinien der Berufsgenossenschaft entsprechend. Die Mechanik ist in d</w:t>
      </w:r>
      <w:r w:rsidR="00B24038">
        <w:t xml:space="preserve">en Führungsschienen </w:t>
      </w:r>
      <w:r w:rsidR="00FE6871">
        <w:t>integriert.</w:t>
      </w:r>
    </w:p>
    <w:p w14:paraId="032ADADD" w14:textId="77777777" w:rsidR="001C6281" w:rsidRDefault="001C6281" w:rsidP="001C6281">
      <w:pPr>
        <w:spacing w:after="0"/>
      </w:pPr>
    </w:p>
    <w:p w14:paraId="1E1B00FE" w14:textId="65E2DA61" w:rsidR="00835017" w:rsidRDefault="00835017" w:rsidP="00835017">
      <w:pPr>
        <w:spacing w:after="0"/>
      </w:pPr>
      <w:r w:rsidRPr="00456C98">
        <w:rPr>
          <w:b/>
        </w:rPr>
        <w:t>Schließkantensicherung</w:t>
      </w:r>
      <w:r>
        <w:t xml:space="preserve">: Überwachung der Schließbewegung durch </w:t>
      </w:r>
      <w:r w:rsidRPr="0040741E">
        <w:t xml:space="preserve">eine </w:t>
      </w:r>
      <w:proofErr w:type="spellStart"/>
      <w:r w:rsidRPr="0040741E">
        <w:t>opto</w:t>
      </w:r>
      <w:proofErr w:type="spellEnd"/>
      <w:r w:rsidRPr="0040741E">
        <w:t>-elektronische Schaltleiste entsprechend den gültigen Richtlinien für kraftbetätigte Tore.</w:t>
      </w:r>
    </w:p>
    <w:p w14:paraId="0D01C64D" w14:textId="77777777" w:rsidR="001C6281" w:rsidRDefault="00835017" w:rsidP="00835017">
      <w:pPr>
        <w:pBdr>
          <w:bottom w:val="single" w:sz="12" w:space="1" w:color="auto"/>
        </w:pBdr>
        <w:spacing w:after="0"/>
      </w:pPr>
      <w:r>
        <w:t xml:space="preserve">Option: automatisches Schließen mit sekundengenau einstellbarer </w:t>
      </w:r>
      <w:r w:rsidR="00682855">
        <w:t>Offenzeit</w:t>
      </w:r>
      <w:r>
        <w:t>, mit Wahlschalter, nur in Verbindung mit Überwachung des Schließbereichs</w:t>
      </w:r>
    </w:p>
    <w:p w14:paraId="18214108" w14:textId="77777777" w:rsidR="00835017" w:rsidRDefault="00835017" w:rsidP="00835017">
      <w:pPr>
        <w:pBdr>
          <w:bottom w:val="single" w:sz="12" w:space="1" w:color="auto"/>
        </w:pBdr>
        <w:spacing w:after="0"/>
      </w:pPr>
      <w:r>
        <w:t xml:space="preserve"> </w:t>
      </w:r>
    </w:p>
    <w:p w14:paraId="4EC88734" w14:textId="77777777" w:rsidR="001C6281" w:rsidRDefault="001C6281" w:rsidP="001C6281">
      <w:pPr>
        <w:pBdr>
          <w:bottom w:val="single" w:sz="12" w:space="1" w:color="auto"/>
        </w:pBdr>
        <w:spacing w:after="0"/>
      </w:pPr>
      <w:r w:rsidRPr="001C6281">
        <w:rPr>
          <w:b/>
        </w:rPr>
        <w:t>Torabdichtung</w:t>
      </w:r>
      <w:r>
        <w:t>: zwischen den Torblatt- Elementen durch Gummi-Schlauchdichtungen, zwischen Torblätter und Führungsschienen durch Bürstenprofile, zum Sturz und zur Lei</w:t>
      </w:r>
      <w:r w:rsidR="00B24038">
        <w:t>bung hin durch Gummi-Lippen</w:t>
      </w:r>
      <w:r w:rsidR="00171556">
        <w:t>- bzw. Hohl</w:t>
      </w:r>
      <w:r>
        <w:t>profile, zum B</w:t>
      </w:r>
      <w:r w:rsidR="00B24038">
        <w:t>oden hin durch ein Gummi-Hohl</w:t>
      </w:r>
      <w:r>
        <w:t>profil.</w:t>
      </w:r>
      <w:r w:rsidR="00835017">
        <w:t xml:space="preserve"> </w:t>
      </w:r>
      <w:r w:rsidR="00835017" w:rsidRPr="00EC76A8">
        <w:t>Standardgummiprofile aus EPDM</w:t>
      </w:r>
      <w:r w:rsidR="00835017">
        <w:t>.</w:t>
      </w:r>
    </w:p>
    <w:p w14:paraId="7DF7B1AD" w14:textId="77777777" w:rsidR="001C6281" w:rsidRPr="007447CC" w:rsidRDefault="001C6281" w:rsidP="001C6281">
      <w:pPr>
        <w:pBdr>
          <w:bottom w:val="single" w:sz="12" w:space="1" w:color="auto"/>
        </w:pBdr>
        <w:spacing w:after="0"/>
        <w:rPr>
          <w:b/>
        </w:rPr>
      </w:pPr>
    </w:p>
    <w:p w14:paraId="2268273F" w14:textId="467B9983" w:rsidR="00835017" w:rsidRDefault="00835017" w:rsidP="00835017">
      <w:pPr>
        <w:pBdr>
          <w:bottom w:val="single" w:sz="12" w:space="1" w:color="auto"/>
        </w:pBdr>
        <w:spacing w:after="0"/>
      </w:pPr>
      <w:r w:rsidRPr="00E96ECD">
        <w:rPr>
          <w:b/>
        </w:rPr>
        <w:t>Befestigung:</w:t>
      </w:r>
      <w:r w:rsidRPr="00E96ECD">
        <w:t xml:space="preserve"> hinter der Leibung mit verzinkten Stahlwinkeln</w:t>
      </w:r>
      <w:r w:rsidR="001D28D0" w:rsidRPr="00E96ECD">
        <w:t xml:space="preserve">. </w:t>
      </w:r>
      <w:r w:rsidRPr="00E96ECD">
        <w:t>Je nach Unterkonstruktion: Dübel</w:t>
      </w:r>
      <w:r w:rsidR="00E42C72" w:rsidRPr="00E96ECD">
        <w:t>- oder Anschraubmontage</w:t>
      </w:r>
    </w:p>
    <w:p w14:paraId="10B656DC" w14:textId="77777777" w:rsidR="00835017" w:rsidRDefault="00835017" w:rsidP="00835017">
      <w:pPr>
        <w:pBdr>
          <w:bottom w:val="single" w:sz="12" w:space="1" w:color="auto"/>
        </w:pBdr>
        <w:spacing w:after="0"/>
      </w:pPr>
    </w:p>
    <w:p w14:paraId="3E2EE786" w14:textId="77777777" w:rsidR="00835017" w:rsidRPr="00466B7A" w:rsidRDefault="00835017" w:rsidP="00835017">
      <w:pPr>
        <w:pBdr>
          <w:bottom w:val="single" w:sz="12" w:space="1" w:color="auto"/>
        </w:pBdr>
        <w:spacing w:after="0"/>
      </w:pPr>
      <w:r w:rsidRPr="00466B7A">
        <w:rPr>
          <w:b/>
        </w:rPr>
        <w:t>Betriebsanleitung gem. EN 82079-1 mit Prüfungsbefund</w:t>
      </w:r>
      <w:r w:rsidRPr="00466B7A">
        <w:t xml:space="preserve"> nach Vorgaben der Produktnorm Tore.</w:t>
      </w:r>
    </w:p>
    <w:p w14:paraId="2874E2F6" w14:textId="77777777" w:rsidR="00835017" w:rsidRDefault="00835017" w:rsidP="00835017">
      <w:pPr>
        <w:pBdr>
          <w:bottom w:val="single" w:sz="12" w:space="1" w:color="auto"/>
        </w:pBdr>
        <w:spacing w:after="0"/>
      </w:pPr>
    </w:p>
    <w:p w14:paraId="2733C4B2" w14:textId="77777777" w:rsidR="00835017" w:rsidRPr="00466B7A" w:rsidRDefault="00835017" w:rsidP="00835017">
      <w:pPr>
        <w:pBdr>
          <w:bottom w:val="single" w:sz="12" w:space="1" w:color="auto"/>
        </w:pBdr>
        <w:spacing w:after="0"/>
      </w:pPr>
      <w:r w:rsidRPr="00466B7A">
        <w:rPr>
          <w:b/>
        </w:rPr>
        <w:lastRenderedPageBreak/>
        <w:t>Lieferung</w:t>
      </w:r>
      <w:r w:rsidRPr="00466B7A">
        <w:t xml:space="preserve"> frei Baustelle, incl. fachmännischer Montage. (Das Setzen und Anschließen von zusätzlichen Steuereinrichtungen nach Aufwand </w:t>
      </w:r>
      <w:proofErr w:type="gramStart"/>
      <w:r w:rsidRPr="00466B7A">
        <w:t>(  _</w:t>
      </w:r>
      <w:proofErr w:type="gramEnd"/>
      <w:r w:rsidRPr="00466B7A">
        <w:t>_____ EU</w:t>
      </w:r>
      <w:r>
        <w:t>R pro Std.) und Materialaufwand</w:t>
      </w:r>
      <w:r w:rsidRPr="00466B7A">
        <w:t xml:space="preserve">  _____ EUR. Der Netzanschluss </w:t>
      </w:r>
      <w:r>
        <w:t>ist eine bauseitige Leistung.</w:t>
      </w:r>
    </w:p>
    <w:p w14:paraId="080DA587" w14:textId="77777777" w:rsidR="00835017" w:rsidRDefault="00835017" w:rsidP="00835017">
      <w:pPr>
        <w:pBdr>
          <w:bottom w:val="single" w:sz="12" w:space="1" w:color="auto"/>
        </w:pBdr>
        <w:spacing w:after="0"/>
      </w:pPr>
    </w:p>
    <w:p w14:paraId="0E93DCC0" w14:textId="77777777" w:rsidR="00835017" w:rsidRPr="005027C0" w:rsidRDefault="00835017" w:rsidP="00835017">
      <w:pPr>
        <w:pBdr>
          <w:bottom w:val="single" w:sz="12" w:space="1" w:color="auto"/>
        </w:pBdr>
        <w:spacing w:after="0"/>
      </w:pPr>
      <w:r w:rsidRPr="005027C0">
        <w:t>Stückzahl: _________________________</w:t>
      </w:r>
    </w:p>
    <w:p w14:paraId="598867C6" w14:textId="77777777" w:rsidR="00835017" w:rsidRPr="005027C0" w:rsidRDefault="00835017" w:rsidP="00835017">
      <w:pPr>
        <w:pBdr>
          <w:bottom w:val="single" w:sz="12" w:space="1" w:color="auto"/>
        </w:pBdr>
        <w:spacing w:after="0"/>
      </w:pPr>
      <w:r w:rsidRPr="005027C0">
        <w:t>Lichte Durchfahrtsbreite (mm): _________</w:t>
      </w:r>
    </w:p>
    <w:p w14:paraId="6101EF58" w14:textId="77777777" w:rsidR="00835017" w:rsidRPr="005027C0" w:rsidRDefault="00835017" w:rsidP="00835017">
      <w:pPr>
        <w:pBdr>
          <w:bottom w:val="single" w:sz="12" w:space="1" w:color="auto"/>
        </w:pBdr>
        <w:spacing w:after="0"/>
      </w:pPr>
      <w:r w:rsidRPr="005027C0">
        <w:t>Lichte Durchfahrtshöhe (mm): __________</w:t>
      </w:r>
    </w:p>
    <w:p w14:paraId="2247E9B3" w14:textId="77777777" w:rsidR="00835017" w:rsidRPr="00B46B48" w:rsidRDefault="00835017" w:rsidP="008009A5">
      <w:pPr>
        <w:pBdr>
          <w:bottom w:val="single" w:sz="12" w:space="1" w:color="auto"/>
        </w:pBdr>
        <w:spacing w:after="0"/>
        <w:rPr>
          <w:i/>
        </w:rPr>
      </w:pPr>
      <w:r>
        <w:rPr>
          <w:i/>
        </w:rPr>
        <w:t>(Hinweis: Tor</w:t>
      </w:r>
      <w:r w:rsidRPr="00B46B48">
        <w:rPr>
          <w:i/>
        </w:rPr>
        <w:t xml:space="preserve">breite max. </w:t>
      </w:r>
      <w:r>
        <w:rPr>
          <w:i/>
        </w:rPr>
        <w:t>15,0 m</w:t>
      </w:r>
      <w:r w:rsidR="001D28D0">
        <w:rPr>
          <w:i/>
        </w:rPr>
        <w:t>, Torhöhe max. 6,0 m</w:t>
      </w:r>
      <w:r>
        <w:rPr>
          <w:i/>
        </w:rPr>
        <w:t>)</w:t>
      </w:r>
    </w:p>
    <w:p w14:paraId="3BDD2CA1" w14:textId="77777777" w:rsidR="009471CD" w:rsidRDefault="009471CD" w:rsidP="005027C0">
      <w:pPr>
        <w:pBdr>
          <w:bottom w:val="single" w:sz="12" w:space="1" w:color="auto"/>
        </w:pBdr>
        <w:spacing w:after="0"/>
      </w:pPr>
    </w:p>
    <w:p w14:paraId="2F05E399" w14:textId="77777777" w:rsidR="005027C0" w:rsidRPr="005027C0" w:rsidRDefault="005027C0" w:rsidP="005027C0">
      <w:pPr>
        <w:pBdr>
          <w:bottom w:val="single" w:sz="12" w:space="1" w:color="auto"/>
        </w:pBdr>
        <w:spacing w:after="0"/>
      </w:pPr>
      <w:r w:rsidRPr="005027C0">
        <w:t>Sonstiges: _________________________________________________________</w:t>
      </w:r>
    </w:p>
    <w:p w14:paraId="0FF92686" w14:textId="77777777" w:rsidR="001E31A9" w:rsidRDefault="001E31A9" w:rsidP="001E31A9">
      <w:pPr>
        <w:pBdr>
          <w:bottom w:val="single" w:sz="12" w:space="1" w:color="auto"/>
        </w:pBdr>
        <w:spacing w:after="0"/>
        <w:rPr>
          <w:b/>
        </w:rPr>
      </w:pPr>
    </w:p>
    <w:p w14:paraId="64479029" w14:textId="77777777" w:rsidR="004957B2" w:rsidRPr="004957B2" w:rsidRDefault="004957B2" w:rsidP="001E31A9">
      <w:pPr>
        <w:pBdr>
          <w:bottom w:val="single" w:sz="12" w:space="1" w:color="auto"/>
        </w:pBdr>
        <w:spacing w:after="0"/>
        <w:rPr>
          <w:b/>
        </w:rPr>
      </w:pPr>
      <w:r w:rsidRPr="004957B2">
        <w:rPr>
          <w:b/>
        </w:rPr>
        <w:t xml:space="preserve">Hersteller-Nachweis: </w:t>
      </w:r>
    </w:p>
    <w:p w14:paraId="2872588D" w14:textId="77777777" w:rsidR="004957B2" w:rsidRDefault="004957B2" w:rsidP="004957B2">
      <w:pPr>
        <w:pBdr>
          <w:bottom w:val="single" w:sz="12" w:space="1" w:color="auto"/>
        </w:pBdr>
        <w:spacing w:after="0"/>
      </w:pPr>
      <w:r>
        <w:t>Butzbach GmbH Industrietore</w:t>
      </w:r>
    </w:p>
    <w:p w14:paraId="45BBE307" w14:textId="77777777" w:rsidR="00456C98" w:rsidRDefault="00456C98" w:rsidP="004957B2">
      <w:pPr>
        <w:pBdr>
          <w:bottom w:val="single" w:sz="12" w:space="1" w:color="auto"/>
        </w:pBdr>
        <w:spacing w:after="0"/>
      </w:pPr>
      <w:r w:rsidRPr="00456C98">
        <w:t>www.butzbach.com</w:t>
      </w:r>
      <w:r>
        <w:t xml:space="preserve"> </w:t>
      </w:r>
    </w:p>
    <w:p w14:paraId="54015A29" w14:textId="77777777" w:rsidR="00312127" w:rsidRDefault="00312127" w:rsidP="00312127">
      <w:pPr>
        <w:pBdr>
          <w:bottom w:val="single" w:sz="12" w:space="1" w:color="auto"/>
        </w:pBdr>
        <w:spacing w:after="0"/>
      </w:pPr>
    </w:p>
    <w:sectPr w:rsidR="00312127" w:rsidSect="002D5379">
      <w:headerReference w:type="default" r:id="rId11"/>
      <w:footerReference w:type="default" r:id="rId12"/>
      <w:pgSz w:w="11906" w:h="16838"/>
      <w:pgMar w:top="1417" w:right="1417" w:bottom="993"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utzbach, Wolfgang - BUTZBACH" w:date="2021-03-29T16:39:00Z" w:initials="BW-B">
    <w:p w14:paraId="181533A4" w14:textId="49FF5F18" w:rsidR="003D08FE" w:rsidRDefault="003D08FE">
      <w:pPr>
        <w:pStyle w:val="Kommentartext"/>
      </w:pPr>
      <w:r>
        <w:rPr>
          <w:rStyle w:val="Kommentarzeichen"/>
        </w:rPr>
        <w:annotationRef/>
      </w:r>
      <w:r>
        <w:t>Nur Energiekette</w:t>
      </w:r>
    </w:p>
  </w:comment>
  <w:comment w:id="2" w:author="Butzbach, Wolfgang - BUTZBACH" w:date="2021-03-29T16:34:00Z" w:initials="BW-B">
    <w:p w14:paraId="0756CC9F" w14:textId="550E7ABE" w:rsidR="00143DCC" w:rsidRDefault="00143DCC">
      <w:pPr>
        <w:pStyle w:val="Kommentartext"/>
      </w:pPr>
      <w:r>
        <w:rPr>
          <w:rStyle w:val="Kommentarzeichen"/>
        </w:rPr>
        <w:annotationRef/>
      </w:r>
      <w:r>
        <w:t xml:space="preserve">Nach Rücksprache mit Roland Zanker bei B1200 und 4 KW Steuerung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1533A4" w15:done="0"/>
  <w15:commentEx w15:paraId="0756CC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815D" w16cex:dateUtc="2021-03-29T14:39:00Z"/>
  <w16cex:commentExtensible w16cex:durableId="240C800C" w16cex:dateUtc="2021-03-29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1533A4" w16cid:durableId="240C815D"/>
  <w16cid:commentId w16cid:paraId="0756CC9F" w16cid:durableId="240C80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223C1" w14:textId="77777777" w:rsidR="00721A3F" w:rsidRDefault="00721A3F" w:rsidP="00236A63">
      <w:pPr>
        <w:spacing w:after="0" w:line="240" w:lineRule="auto"/>
      </w:pPr>
      <w:r>
        <w:separator/>
      </w:r>
    </w:p>
  </w:endnote>
  <w:endnote w:type="continuationSeparator" w:id="0">
    <w:p w14:paraId="713C08C0" w14:textId="77777777" w:rsidR="00721A3F" w:rsidRDefault="00721A3F" w:rsidP="0023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4EA5D" w14:textId="07BB2327" w:rsidR="0021069B" w:rsidRPr="0021069B" w:rsidRDefault="0021069B">
    <w:pPr>
      <w:pStyle w:val="Fuzeile"/>
      <w:rPr>
        <w:sz w:val="16"/>
      </w:rPr>
    </w:pPr>
    <w:r w:rsidRPr="003A6B41">
      <w:rPr>
        <w:sz w:val="16"/>
      </w:rPr>
      <w:t xml:space="preserve">Stand </w:t>
    </w:r>
    <w:proofErr w:type="gramStart"/>
    <w:r w:rsidR="00143DCC">
      <w:rPr>
        <w:sz w:val="16"/>
      </w:rPr>
      <w:t>29.03.2021</w:t>
    </w:r>
    <w:r w:rsidR="00AF7EE2">
      <w:rPr>
        <w:sz w:val="16"/>
      </w:rPr>
      <w:t xml:space="preserve"> </w:t>
    </w:r>
    <w:r w:rsidRPr="003A6B41">
      <w:rPr>
        <w:sz w:val="16"/>
      </w:rPr>
      <w:t xml:space="preserve"> –</w:t>
    </w:r>
    <w:proofErr w:type="gramEnd"/>
    <w:r w:rsidRPr="003A6B41">
      <w:rPr>
        <w:sz w:val="16"/>
      </w:rPr>
      <w:t xml:space="preserve"> Änderungen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CAFD5" w14:textId="77777777" w:rsidR="00721A3F" w:rsidRDefault="00721A3F" w:rsidP="00236A63">
      <w:pPr>
        <w:spacing w:after="0" w:line="240" w:lineRule="auto"/>
      </w:pPr>
      <w:r>
        <w:separator/>
      </w:r>
    </w:p>
  </w:footnote>
  <w:footnote w:type="continuationSeparator" w:id="0">
    <w:p w14:paraId="0D1D25CC" w14:textId="77777777" w:rsidR="00721A3F" w:rsidRDefault="00721A3F" w:rsidP="00236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A507" w14:textId="77777777" w:rsidR="003C3858" w:rsidRDefault="003C3858" w:rsidP="003C3858">
    <w:pPr>
      <w:pStyle w:val="Kopfzeile"/>
    </w:pPr>
    <w:r>
      <w:rPr>
        <w:noProof/>
      </w:rPr>
      <mc:AlternateContent>
        <mc:Choice Requires="wps">
          <w:drawing>
            <wp:anchor distT="0" distB="0" distL="114300" distR="114300" simplePos="0" relativeHeight="251660288" behindDoc="0" locked="0" layoutInCell="1" allowOverlap="1" wp14:anchorId="2EE4B76E" wp14:editId="175DD479">
              <wp:simplePos x="0" y="0"/>
              <wp:positionH relativeFrom="column">
                <wp:posOffset>4196080</wp:posOffset>
              </wp:positionH>
              <wp:positionV relativeFrom="paragraph">
                <wp:posOffset>-220980</wp:posOffset>
              </wp:positionV>
              <wp:extent cx="2133600" cy="6191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4D18A" w14:textId="77777777" w:rsidR="003C3858" w:rsidRDefault="003C3858" w:rsidP="003C3858">
                          <w:r>
                            <w:object w:dxaOrig="4097" w:dyaOrig="871" w14:anchorId="131CC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75pt;height:32.25pt">
                                <v:imagedata r:id="rId1" o:title=""/>
                              </v:shape>
                              <o:OLEObject Type="Embed" ProgID="CorelDraw.Graphic.16" ShapeID="_x0000_i1026" DrawAspect="Content" ObjectID="_1678772379"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0.4pt;margin-top:-17.4pt;width:168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" stroked="f">
              <v:textbox>
                <w:txbxContent>
                  <w:p w:rsidR="003C3858" w:rsidRDefault="003C3858" w:rsidP="003C3858">
                    <w:r>
                      <w:object w:dxaOrig="4015" w:dyaOrig="854">
                        <v:shape id="_x0000_i1025" type="#_x0000_t75" style="width:153.75pt;height:32.25pt">
                          <v:imagedata r:id="rId3" o:title=""/>
                        </v:shape>
                        <o:OLEObject Type="Embed" ProgID="CorelDraw.Graphic.16" ShapeID="_x0000_i1025" DrawAspect="Content" ObjectID="_1604291108" r:id="rId4"/>
                      </w:object>
                    </w:r>
                  </w:p>
                </w:txbxContent>
              </v:textbox>
            </v:shape>
          </w:pict>
        </mc:Fallback>
      </mc:AlternateContent>
    </w:r>
    <w:r w:rsidRPr="00937FCD">
      <w:rPr>
        <w:noProof/>
        <w:lang w:eastAsia="de-DE"/>
      </w:rPr>
      <w:drawing>
        <wp:anchor distT="0" distB="0" distL="114300" distR="114300" simplePos="0" relativeHeight="251657728" behindDoc="0" locked="0" layoutInCell="1" allowOverlap="1" wp14:anchorId="05ACF3D0" wp14:editId="57121B79">
          <wp:simplePos x="0" y="0"/>
          <wp:positionH relativeFrom="column">
            <wp:posOffset>4796486</wp:posOffset>
          </wp:positionH>
          <wp:positionV relativeFrom="paragraph">
            <wp:posOffset>-147430</wp:posOffset>
          </wp:positionV>
          <wp:extent cx="1436039" cy="294198"/>
          <wp:effectExtent l="19050" t="0" r="0" b="0"/>
          <wp:wrapNone/>
          <wp:docPr id="3" name="Bild 2" descr="\\itsv001\Users\schauwec\Logo\Logos neu ab 092015\logo DE\butzbach RGB 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v001\Users\schauwec\Logo\Logos neu ab 092015\logo DE\butzbach RGB DE.jpg"/>
                  <pic:cNvPicPr>
                    <a:picLocks noChangeAspect="1" noChangeArrowheads="1"/>
                  </pic:cNvPicPr>
                </pic:nvPicPr>
                <pic:blipFill>
                  <a:blip r:embed="rId5"/>
                  <a:srcRect/>
                  <a:stretch>
                    <a:fillRect/>
                  </a:stretch>
                </pic:blipFill>
                <pic:spPr bwMode="auto">
                  <a:xfrm>
                    <a:off x="0" y="0"/>
                    <a:ext cx="1436039" cy="294199"/>
                  </a:xfrm>
                  <a:prstGeom prst="rect">
                    <a:avLst/>
                  </a:prstGeom>
                  <a:noFill/>
                  <a:ln w="9525">
                    <a:noFill/>
                    <a:miter lim="800000"/>
                    <a:headEnd/>
                    <a:tailEnd/>
                  </a:ln>
                </pic:spPr>
              </pic:pic>
            </a:graphicData>
          </a:graphic>
        </wp:anchor>
      </w:drawing>
    </w:r>
  </w:p>
  <w:p w14:paraId="75AFF487" w14:textId="77777777" w:rsidR="00721A3F" w:rsidRDefault="00721A3F">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tzbach, Wolfgang - BUTZBACH">
    <w15:presenceInfo w15:providerId="AD" w15:userId="S::wolfgang.butzbach@butzbach.com::569dba8a-158b-4791-bc72-33985421a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06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BE"/>
    <w:rsid w:val="00006610"/>
    <w:rsid w:val="00015E04"/>
    <w:rsid w:val="0005191E"/>
    <w:rsid w:val="000757CC"/>
    <w:rsid w:val="0008533C"/>
    <w:rsid w:val="00095782"/>
    <w:rsid w:val="000D20C9"/>
    <w:rsid w:val="000F6181"/>
    <w:rsid w:val="000F6DCE"/>
    <w:rsid w:val="00126EB6"/>
    <w:rsid w:val="00143DCC"/>
    <w:rsid w:val="00171556"/>
    <w:rsid w:val="00177F72"/>
    <w:rsid w:val="001863E1"/>
    <w:rsid w:val="001C6281"/>
    <w:rsid w:val="001D28D0"/>
    <w:rsid w:val="001D61C8"/>
    <w:rsid w:val="001E31A9"/>
    <w:rsid w:val="0021069B"/>
    <w:rsid w:val="00232ABE"/>
    <w:rsid w:val="00236A63"/>
    <w:rsid w:val="0025660C"/>
    <w:rsid w:val="00270341"/>
    <w:rsid w:val="002778CD"/>
    <w:rsid w:val="002B26B4"/>
    <w:rsid w:val="002D1F5B"/>
    <w:rsid w:val="002D5379"/>
    <w:rsid w:val="00312127"/>
    <w:rsid w:val="003153FF"/>
    <w:rsid w:val="00316F69"/>
    <w:rsid w:val="00341E8C"/>
    <w:rsid w:val="00343BDB"/>
    <w:rsid w:val="00391CE3"/>
    <w:rsid w:val="00395726"/>
    <w:rsid w:val="003C3858"/>
    <w:rsid w:val="003D08FE"/>
    <w:rsid w:val="003D54CE"/>
    <w:rsid w:val="003E4971"/>
    <w:rsid w:val="003F7498"/>
    <w:rsid w:val="00412914"/>
    <w:rsid w:val="0042117C"/>
    <w:rsid w:val="00422229"/>
    <w:rsid w:val="00426245"/>
    <w:rsid w:val="00446DCE"/>
    <w:rsid w:val="00456C98"/>
    <w:rsid w:val="0046474D"/>
    <w:rsid w:val="004957B2"/>
    <w:rsid w:val="004B6BF2"/>
    <w:rsid w:val="004D686A"/>
    <w:rsid w:val="004E06D6"/>
    <w:rsid w:val="005027C0"/>
    <w:rsid w:val="00540DE3"/>
    <w:rsid w:val="0054398A"/>
    <w:rsid w:val="00584B0C"/>
    <w:rsid w:val="00593303"/>
    <w:rsid w:val="005B017A"/>
    <w:rsid w:val="005B08ED"/>
    <w:rsid w:val="005B0BA2"/>
    <w:rsid w:val="005C75BF"/>
    <w:rsid w:val="00652C38"/>
    <w:rsid w:val="00671493"/>
    <w:rsid w:val="00682855"/>
    <w:rsid w:val="006A399C"/>
    <w:rsid w:val="006C50B5"/>
    <w:rsid w:val="00707AD2"/>
    <w:rsid w:val="00721A3F"/>
    <w:rsid w:val="0072246D"/>
    <w:rsid w:val="0073737D"/>
    <w:rsid w:val="00741415"/>
    <w:rsid w:val="007447CC"/>
    <w:rsid w:val="0076071C"/>
    <w:rsid w:val="00790A7A"/>
    <w:rsid w:val="00791EF0"/>
    <w:rsid w:val="007A11BF"/>
    <w:rsid w:val="007F2D85"/>
    <w:rsid w:val="008009A5"/>
    <w:rsid w:val="00812623"/>
    <w:rsid w:val="00835017"/>
    <w:rsid w:val="00860BF2"/>
    <w:rsid w:val="00863742"/>
    <w:rsid w:val="0087016F"/>
    <w:rsid w:val="008D5D6B"/>
    <w:rsid w:val="008D7B6C"/>
    <w:rsid w:val="008F69AF"/>
    <w:rsid w:val="009018DB"/>
    <w:rsid w:val="0090273E"/>
    <w:rsid w:val="00910735"/>
    <w:rsid w:val="00946235"/>
    <w:rsid w:val="009471CD"/>
    <w:rsid w:val="009505AE"/>
    <w:rsid w:val="00962DD7"/>
    <w:rsid w:val="00964C50"/>
    <w:rsid w:val="00977795"/>
    <w:rsid w:val="00992514"/>
    <w:rsid w:val="009B151A"/>
    <w:rsid w:val="009B1968"/>
    <w:rsid w:val="009E12DB"/>
    <w:rsid w:val="00A122AD"/>
    <w:rsid w:val="00A35C15"/>
    <w:rsid w:val="00A44569"/>
    <w:rsid w:val="00A6033B"/>
    <w:rsid w:val="00A66355"/>
    <w:rsid w:val="00A668AE"/>
    <w:rsid w:val="00AB41FE"/>
    <w:rsid w:val="00AF7EE2"/>
    <w:rsid w:val="00B24038"/>
    <w:rsid w:val="00B729B7"/>
    <w:rsid w:val="00BA4E52"/>
    <w:rsid w:val="00BC5C89"/>
    <w:rsid w:val="00BE3479"/>
    <w:rsid w:val="00C031F1"/>
    <w:rsid w:val="00C17132"/>
    <w:rsid w:val="00C171E1"/>
    <w:rsid w:val="00C373BB"/>
    <w:rsid w:val="00C5290A"/>
    <w:rsid w:val="00C7200A"/>
    <w:rsid w:val="00C76B32"/>
    <w:rsid w:val="00C86CF7"/>
    <w:rsid w:val="00CB1D66"/>
    <w:rsid w:val="00CC4DF2"/>
    <w:rsid w:val="00CF63FB"/>
    <w:rsid w:val="00D4159C"/>
    <w:rsid w:val="00D5142B"/>
    <w:rsid w:val="00D72BFA"/>
    <w:rsid w:val="00DA6D0A"/>
    <w:rsid w:val="00DB6F49"/>
    <w:rsid w:val="00DD00BE"/>
    <w:rsid w:val="00DF07E3"/>
    <w:rsid w:val="00E42C72"/>
    <w:rsid w:val="00E445F1"/>
    <w:rsid w:val="00E67580"/>
    <w:rsid w:val="00E76C93"/>
    <w:rsid w:val="00E77AF1"/>
    <w:rsid w:val="00E96ECD"/>
    <w:rsid w:val="00EC4E28"/>
    <w:rsid w:val="00EE13AF"/>
    <w:rsid w:val="00EF5167"/>
    <w:rsid w:val="00F16E8A"/>
    <w:rsid w:val="00F23CBD"/>
    <w:rsid w:val="00F32FDE"/>
    <w:rsid w:val="00F504A5"/>
    <w:rsid w:val="00F50C99"/>
    <w:rsid w:val="00F520F9"/>
    <w:rsid w:val="00F561B1"/>
    <w:rsid w:val="00F81A63"/>
    <w:rsid w:val="00F82952"/>
    <w:rsid w:val="00FC0129"/>
    <w:rsid w:val="00FE6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14:docId w14:val="4A8B7356"/>
  <w15:docId w15:val="{2180B387-27D8-4234-9ACE-021C90DA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53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6C98"/>
    <w:rPr>
      <w:color w:val="0000FF" w:themeColor="hyperlink"/>
      <w:u w:val="single"/>
    </w:rPr>
  </w:style>
  <w:style w:type="paragraph" w:styleId="Kopfzeile">
    <w:name w:val="header"/>
    <w:basedOn w:val="Standard"/>
    <w:link w:val="KopfzeileZchn"/>
    <w:uiPriority w:val="99"/>
    <w:unhideWhenUsed/>
    <w:rsid w:val="00236A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A63"/>
  </w:style>
  <w:style w:type="paragraph" w:styleId="Fuzeile">
    <w:name w:val="footer"/>
    <w:basedOn w:val="Standard"/>
    <w:link w:val="FuzeileZchn"/>
    <w:uiPriority w:val="99"/>
    <w:unhideWhenUsed/>
    <w:rsid w:val="00236A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A63"/>
  </w:style>
  <w:style w:type="paragraph" w:styleId="Sprechblasentext">
    <w:name w:val="Balloon Text"/>
    <w:basedOn w:val="Standard"/>
    <w:link w:val="SprechblasentextZchn"/>
    <w:uiPriority w:val="99"/>
    <w:semiHidden/>
    <w:unhideWhenUsed/>
    <w:rsid w:val="00236A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A63"/>
    <w:rPr>
      <w:rFonts w:ascii="Tahoma" w:hAnsi="Tahoma" w:cs="Tahoma"/>
      <w:sz w:val="16"/>
      <w:szCs w:val="16"/>
    </w:rPr>
  </w:style>
  <w:style w:type="character" w:customStyle="1" w:styleId="gesetznormueberschrift">
    <w:name w:val="gesetz_normueberschrift"/>
    <w:basedOn w:val="Absatz-Standardschriftart"/>
    <w:rsid w:val="009471CD"/>
  </w:style>
  <w:style w:type="character" w:styleId="Kommentarzeichen">
    <w:name w:val="annotation reference"/>
    <w:basedOn w:val="Absatz-Standardschriftart"/>
    <w:uiPriority w:val="99"/>
    <w:semiHidden/>
    <w:unhideWhenUsed/>
    <w:rsid w:val="007447CC"/>
    <w:rPr>
      <w:sz w:val="16"/>
      <w:szCs w:val="16"/>
    </w:rPr>
  </w:style>
  <w:style w:type="paragraph" w:styleId="Kommentartext">
    <w:name w:val="annotation text"/>
    <w:basedOn w:val="Standard"/>
    <w:link w:val="KommentartextZchn"/>
    <w:uiPriority w:val="99"/>
    <w:semiHidden/>
    <w:unhideWhenUsed/>
    <w:rsid w:val="007447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47CC"/>
    <w:rPr>
      <w:sz w:val="20"/>
      <w:szCs w:val="20"/>
    </w:rPr>
  </w:style>
  <w:style w:type="paragraph" w:styleId="Kommentarthema">
    <w:name w:val="annotation subject"/>
    <w:basedOn w:val="Kommentartext"/>
    <w:next w:val="Kommentartext"/>
    <w:link w:val="KommentarthemaZchn"/>
    <w:uiPriority w:val="99"/>
    <w:semiHidden/>
    <w:unhideWhenUsed/>
    <w:rsid w:val="007447CC"/>
    <w:rPr>
      <w:b/>
      <w:bCs/>
    </w:rPr>
  </w:style>
  <w:style w:type="character" w:customStyle="1" w:styleId="KommentarthemaZchn">
    <w:name w:val="Kommentarthema Zchn"/>
    <w:basedOn w:val="KommentartextZchn"/>
    <w:link w:val="Kommentarthema"/>
    <w:uiPriority w:val="99"/>
    <w:semiHidden/>
    <w:rsid w:val="007447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image" Target="media/image2.jpeg"/><Relationship Id="rId4" Type="http://schemas.openxmlformats.org/officeDocument/2006/relationships/oleObject" Target="embeddings/oleObject2.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F9108-C536-4E71-B4F9-4E4C61C7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Butzbach GmbH Industrietore</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hofstett</dc:creator>
  <cp:lastModifiedBy>Rapp, Jennifer - BUTZBACH</cp:lastModifiedBy>
  <cp:revision>6</cp:revision>
  <cp:lastPrinted>2021-04-01T06:51:00Z</cp:lastPrinted>
  <dcterms:created xsi:type="dcterms:W3CDTF">2021-03-29T14:38:00Z</dcterms:created>
  <dcterms:modified xsi:type="dcterms:W3CDTF">2021-04-01T06:53:00Z</dcterms:modified>
</cp:coreProperties>
</file>